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950" w:rsidRDefault="00DF5950" w:rsidP="00DF5950">
      <w:pPr>
        <w:rPr>
          <w:rFonts w:ascii="Arial" w:hAnsi="Arial" w:cs="Arial"/>
          <w:b/>
          <w:sz w:val="24"/>
        </w:rPr>
      </w:pPr>
      <w:r w:rsidRPr="00111B7E">
        <w:rPr>
          <w:rFonts w:ascii="Arial" w:hAnsi="Arial" w:cs="Arial"/>
          <w:b/>
          <w:sz w:val="24"/>
        </w:rPr>
        <w:t>Categoría anatómica/fisiología</w:t>
      </w:r>
    </w:p>
    <w:p w:rsidR="00DF5950" w:rsidRPr="00102AF1" w:rsidRDefault="00DF5950" w:rsidP="00DF5950">
      <w:pPr>
        <w:rPr>
          <w:rFonts w:ascii="Arial" w:hAnsi="Arial" w:cs="Arial"/>
          <w:sz w:val="24"/>
        </w:rPr>
      </w:pPr>
      <w:r>
        <w:rPr>
          <w:rFonts w:ascii="Arial" w:hAnsi="Arial" w:cs="Arial"/>
          <w:sz w:val="24"/>
        </w:rPr>
        <w:t xml:space="preserve">Articulación de rodilla </w:t>
      </w:r>
    </w:p>
    <w:p w:rsidR="00DF5950" w:rsidRDefault="00DF5950" w:rsidP="00DF5950">
      <w:pPr>
        <w:tabs>
          <w:tab w:val="left" w:pos="2143"/>
        </w:tabs>
        <w:rPr>
          <w:rFonts w:ascii="Arial" w:hAnsi="Arial" w:cs="Arial"/>
          <w:b/>
          <w:sz w:val="24"/>
        </w:rPr>
      </w:pPr>
      <w:r>
        <w:rPr>
          <w:rFonts w:ascii="Arial" w:hAnsi="Arial" w:cs="Arial"/>
          <w:b/>
          <w:sz w:val="24"/>
        </w:rPr>
        <w:t>Palabras clave</w:t>
      </w:r>
    </w:p>
    <w:p w:rsidR="00DF5950" w:rsidRDefault="00DF5950" w:rsidP="00DF5950">
      <w:pPr>
        <w:tabs>
          <w:tab w:val="left" w:pos="2143"/>
        </w:tabs>
        <w:rPr>
          <w:rFonts w:ascii="Arial" w:hAnsi="Arial" w:cs="Arial"/>
          <w:sz w:val="24"/>
        </w:rPr>
      </w:pPr>
      <w:r>
        <w:rPr>
          <w:rFonts w:ascii="Arial" w:hAnsi="Arial" w:cs="Arial"/>
          <w:sz w:val="24"/>
        </w:rPr>
        <w:t>Inestabilidad</w:t>
      </w:r>
    </w:p>
    <w:p w:rsidR="00DF5950" w:rsidRDefault="00DF5950" w:rsidP="00DF5950">
      <w:pPr>
        <w:tabs>
          <w:tab w:val="left" w:pos="1234"/>
        </w:tabs>
        <w:rPr>
          <w:rFonts w:ascii="Arial" w:hAnsi="Arial" w:cs="Arial"/>
          <w:sz w:val="24"/>
        </w:rPr>
      </w:pPr>
      <w:r>
        <w:rPr>
          <w:rFonts w:ascii="Arial" w:hAnsi="Arial" w:cs="Arial"/>
          <w:sz w:val="24"/>
        </w:rPr>
        <w:t xml:space="preserve">Rodilla </w:t>
      </w:r>
      <w:r>
        <w:rPr>
          <w:rFonts w:ascii="Arial" w:hAnsi="Arial" w:cs="Arial"/>
          <w:sz w:val="24"/>
        </w:rPr>
        <w:tab/>
      </w:r>
    </w:p>
    <w:p w:rsidR="00DF5950" w:rsidRPr="006205B0" w:rsidRDefault="00DF5950" w:rsidP="00DF5950">
      <w:pPr>
        <w:tabs>
          <w:tab w:val="left" w:pos="2143"/>
        </w:tabs>
        <w:rPr>
          <w:rFonts w:ascii="Arial" w:hAnsi="Arial" w:cs="Arial"/>
          <w:sz w:val="24"/>
        </w:rPr>
      </w:pPr>
      <w:r>
        <w:rPr>
          <w:rFonts w:ascii="Arial" w:hAnsi="Arial" w:cs="Arial"/>
          <w:sz w:val="24"/>
        </w:rPr>
        <w:t xml:space="preserve">Subluxación </w:t>
      </w:r>
      <w:r>
        <w:rPr>
          <w:rFonts w:ascii="Arial" w:hAnsi="Arial" w:cs="Arial"/>
          <w:b/>
          <w:sz w:val="24"/>
        </w:rPr>
        <w:tab/>
      </w:r>
    </w:p>
    <w:p w:rsidR="00DF5950" w:rsidRDefault="00DF5950" w:rsidP="00DF5950">
      <w:pPr>
        <w:tabs>
          <w:tab w:val="left" w:pos="2143"/>
        </w:tabs>
        <w:rPr>
          <w:rFonts w:ascii="Arial" w:hAnsi="Arial" w:cs="Arial"/>
          <w:b/>
          <w:sz w:val="24"/>
        </w:rPr>
      </w:pPr>
      <w:r w:rsidRPr="004D1237">
        <w:rPr>
          <w:rFonts w:ascii="Arial" w:hAnsi="Arial" w:cs="Arial"/>
          <w:b/>
          <w:sz w:val="24"/>
        </w:rPr>
        <w:t>Descripción</w:t>
      </w:r>
    </w:p>
    <w:p w:rsidR="00DF5950" w:rsidRDefault="00DF5950" w:rsidP="00DF5950">
      <w:pPr>
        <w:tabs>
          <w:tab w:val="left" w:pos="2143"/>
        </w:tabs>
        <w:rPr>
          <w:rFonts w:ascii="Arial" w:hAnsi="Arial" w:cs="Arial"/>
          <w:b/>
          <w:sz w:val="24"/>
        </w:rPr>
      </w:pPr>
      <w:r>
        <w:rPr>
          <w:rFonts w:ascii="Cambria Math" w:hAnsi="Cambria Math" w:cs="Cambria Math"/>
        </w:rPr>
        <w:t>▶</w:t>
      </w:r>
      <w:r>
        <w:t xml:space="preserve">Procedimiento. El explorador fija la pierna del paciente entre su antebrazo y su cintura para valorar la traslación (o desplazamiento de la tibia) en sentido medial y lateral próxima a la extensión. Para valorar la traslación medial, el explorador coloca la mano algo distal a la hendidura articular medial a la pierna. Con la otra mano sujetará el muslo. Al tiempo que ejerce un estrés en valgo sobre la pierna a nivel de la rodilla, aplicará presión simultánea sobre el muslo en sentido medial. </w:t>
      </w:r>
      <w:r>
        <w:rPr>
          <w:rFonts w:ascii="Cambria Math" w:hAnsi="Cambria Math" w:cs="Cambria Math"/>
        </w:rPr>
        <w:t>▶</w:t>
      </w:r>
      <w:r>
        <w:t>Valoraci</w:t>
      </w:r>
      <w:r>
        <w:rPr>
          <w:rFonts w:ascii="Calibri" w:hAnsi="Calibri" w:cs="Calibri"/>
        </w:rPr>
        <w:t>ó</w:t>
      </w:r>
      <w:r>
        <w:t>n. Cuando existe una rotura del ligamento cruzado anterior, la tibia se desplazará hacia medial, hasta que la eminencia intercondílea entre en contacto con el cóndilo femoral medial. Dado que el ligamento cruzado posterior sigue un trayecto de medial a lateral, en los pacientes con lesiones a este nivel se podrá demostrar una traslación lateral positiva de la cab</w:t>
      </w:r>
      <w:r>
        <w:t>eza de la tibia (prueba del des</w:t>
      </w:r>
      <w:r>
        <w:t>plazamiento lateral).</w:t>
      </w:r>
    </w:p>
    <w:p w:rsidR="00DF5950" w:rsidRDefault="00DF5950" w:rsidP="00DF5950">
      <w:pPr>
        <w:tabs>
          <w:tab w:val="left" w:pos="2777"/>
        </w:tabs>
      </w:pPr>
      <w:r>
        <w:rPr>
          <w:rFonts w:ascii="Arial" w:hAnsi="Arial" w:cs="Arial"/>
          <w:b/>
          <w:sz w:val="24"/>
          <w:szCs w:val="24"/>
        </w:rPr>
        <w:t>Enlaces externos</w:t>
      </w:r>
    </w:p>
    <w:p w:rsidR="00DF5950" w:rsidRPr="002A45F2" w:rsidRDefault="00DF5950" w:rsidP="00DF5950">
      <w:pPr>
        <w:tabs>
          <w:tab w:val="left" w:pos="2777"/>
        </w:tabs>
        <w:rPr>
          <w:rFonts w:ascii="Arial" w:hAnsi="Arial" w:cs="Arial"/>
          <w:sz w:val="24"/>
          <w:szCs w:val="24"/>
        </w:rPr>
      </w:pPr>
      <w:r>
        <w:rPr>
          <w:rFonts w:ascii="Arial" w:hAnsi="Arial" w:cs="Arial"/>
          <w:sz w:val="24"/>
          <w:szCs w:val="24"/>
        </w:rPr>
        <w:t xml:space="preserve"> </w:t>
      </w:r>
      <w:hyperlink r:id="rId6" w:history="1">
        <w:r w:rsidRPr="00097BAC">
          <w:rPr>
            <w:rStyle w:val="Hipervnculo"/>
            <w:rFonts w:ascii="Arial" w:hAnsi="Arial" w:cs="Arial"/>
            <w:sz w:val="24"/>
            <w:szCs w:val="24"/>
          </w:rPr>
          <w:t>https://www.youtube.com/watch?v=Dj6-3_a9n4I</w:t>
        </w:r>
      </w:hyperlink>
      <w:r>
        <w:rPr>
          <w:rFonts w:ascii="Arial" w:hAnsi="Arial" w:cs="Arial"/>
          <w:sz w:val="24"/>
          <w:szCs w:val="24"/>
        </w:rPr>
        <w:t xml:space="preserve"> </w:t>
      </w:r>
    </w:p>
    <w:p w:rsidR="00DF5950" w:rsidRDefault="00DF5950" w:rsidP="00DF5950">
      <w:pPr>
        <w:rPr>
          <w:rFonts w:ascii="Arial" w:hAnsi="Arial" w:cs="Arial"/>
          <w:b/>
          <w:sz w:val="24"/>
          <w:szCs w:val="24"/>
        </w:rPr>
      </w:pPr>
      <w:r>
        <w:rPr>
          <w:rFonts w:ascii="Arial" w:hAnsi="Arial" w:cs="Arial"/>
          <w:b/>
          <w:sz w:val="24"/>
          <w:szCs w:val="24"/>
        </w:rPr>
        <w:t xml:space="preserve">Imágenes. Test. Pruebas </w:t>
      </w:r>
    </w:p>
    <w:p w:rsidR="00DF5950" w:rsidRDefault="00DF5950" w:rsidP="00DF5950">
      <w:pPr>
        <w:rPr>
          <w:rFonts w:ascii="Arial" w:hAnsi="Arial" w:cs="Arial"/>
          <w:b/>
          <w:sz w:val="24"/>
          <w:szCs w:val="24"/>
        </w:rPr>
      </w:pPr>
      <w:bookmarkStart w:id="0" w:name="_GoBack"/>
      <w:bookmarkEnd w:id="0"/>
      <w:r w:rsidRPr="00DF5950">
        <w:rPr>
          <w:rFonts w:ascii="Arial" w:hAnsi="Arial" w:cs="Arial"/>
          <w:b/>
          <w:sz w:val="24"/>
          <w:szCs w:val="24"/>
        </w:rPr>
        <w:drawing>
          <wp:anchor distT="0" distB="0" distL="114300" distR="114300" simplePos="0" relativeHeight="251658240" behindDoc="0" locked="0" layoutInCell="1" allowOverlap="1">
            <wp:simplePos x="1077686" y="5823857"/>
            <wp:positionH relativeFrom="column">
              <wp:align>left</wp:align>
            </wp:positionH>
            <wp:positionV relativeFrom="paragraph">
              <wp:align>top</wp:align>
            </wp:positionV>
            <wp:extent cx="1595998" cy="2296886"/>
            <wp:effectExtent l="0" t="0" r="4445"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95998" cy="2296886"/>
                    </a:xfrm>
                    <a:prstGeom prst="rect">
                      <a:avLst/>
                    </a:prstGeom>
                  </pic:spPr>
                </pic:pic>
              </a:graphicData>
            </a:graphic>
          </wp:anchor>
        </w:drawing>
      </w:r>
      <w:r>
        <w:rPr>
          <w:rFonts w:ascii="Arial" w:hAnsi="Arial" w:cs="Arial"/>
          <w:b/>
          <w:sz w:val="24"/>
          <w:szCs w:val="24"/>
        </w:rPr>
        <w:br w:type="textWrapping" w:clear="all"/>
      </w:r>
    </w:p>
    <w:p w:rsidR="00DF5950" w:rsidRDefault="00DF5950" w:rsidP="00DF5950">
      <w:pPr>
        <w:rPr>
          <w:rFonts w:ascii="Arial" w:hAnsi="Arial" w:cs="Arial"/>
          <w:b/>
          <w:sz w:val="24"/>
          <w:szCs w:val="24"/>
        </w:rPr>
      </w:pPr>
      <w:r>
        <w:rPr>
          <w:rFonts w:ascii="Arial" w:hAnsi="Arial" w:cs="Arial"/>
          <w:b/>
          <w:sz w:val="24"/>
          <w:szCs w:val="24"/>
        </w:rPr>
        <w:t>Bibliografía</w:t>
      </w:r>
    </w:p>
    <w:p w:rsidR="00DF5950" w:rsidRDefault="00DF5950" w:rsidP="00DF5950">
      <w:r w:rsidRPr="008B1949">
        <w:rPr>
          <w:rFonts w:ascii="Arial" w:hAnsi="Arial" w:cs="Arial"/>
          <w:szCs w:val="24"/>
        </w:rPr>
        <w:t>Buckup, Klaus. Pruebas clínica para patología Oseas, articular y muscular. Exploraciones-signos y síntomas. 2da.Edicion. 499 paginas. Barcelona. Editorial mason</w:t>
      </w:r>
    </w:p>
    <w:p w:rsidR="00077749" w:rsidRDefault="00077749"/>
    <w:sectPr w:rsidR="0007774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275" w:rsidRDefault="00F06275" w:rsidP="00DF5950">
      <w:pPr>
        <w:spacing w:after="0" w:line="240" w:lineRule="auto"/>
      </w:pPr>
      <w:r>
        <w:separator/>
      </w:r>
    </w:p>
  </w:endnote>
  <w:endnote w:type="continuationSeparator" w:id="0">
    <w:p w:rsidR="00F06275" w:rsidRDefault="00F06275" w:rsidP="00DF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275" w:rsidRDefault="00F06275" w:rsidP="00DF5950">
      <w:pPr>
        <w:spacing w:after="0" w:line="240" w:lineRule="auto"/>
      </w:pPr>
      <w:r>
        <w:separator/>
      </w:r>
    </w:p>
  </w:footnote>
  <w:footnote w:type="continuationSeparator" w:id="0">
    <w:p w:rsidR="00F06275" w:rsidRDefault="00F06275" w:rsidP="00DF5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950" w:rsidRDefault="00DF5950" w:rsidP="00DF5950">
    <w:pPr>
      <w:pStyle w:val="Encabezado"/>
      <w:jc w:val="right"/>
    </w:pPr>
    <w:r>
      <w:rPr>
        <w:rFonts w:ascii="Arial" w:hAnsi="Arial" w:cs="Arial"/>
        <w:sz w:val="24"/>
      </w:rPr>
      <w:t>07/02/24</w:t>
    </w:r>
    <w:r w:rsidRPr="00111B7E">
      <w:rPr>
        <w:rFonts w:ascii="Arial" w:hAnsi="Arial" w:cs="Arial"/>
        <w:sz w:val="24"/>
      </w:rPr>
      <w:t xml:space="preserve">    RecuperaT. Fisioterapia física. Fisioterapia de Ortopedia. Fisioterapia post operatoria</w:t>
    </w:r>
  </w:p>
  <w:p w:rsidR="00DF5950" w:rsidRDefault="00DF5950" w:rsidP="00DF5950">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50"/>
    <w:rsid w:val="00077749"/>
    <w:rsid w:val="00DF5950"/>
    <w:rsid w:val="00F06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DFA24-715D-4874-AB38-269FCC14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9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59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5950"/>
  </w:style>
  <w:style w:type="paragraph" w:styleId="Piedepgina">
    <w:name w:val="footer"/>
    <w:basedOn w:val="Normal"/>
    <w:link w:val="PiedepginaCar"/>
    <w:uiPriority w:val="99"/>
    <w:unhideWhenUsed/>
    <w:rsid w:val="00DF59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5950"/>
  </w:style>
  <w:style w:type="character" w:styleId="Hipervnculo">
    <w:name w:val="Hyperlink"/>
    <w:basedOn w:val="Fuentedeprrafopredeter"/>
    <w:uiPriority w:val="99"/>
    <w:unhideWhenUsed/>
    <w:rsid w:val="00DF59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j6-3_a9n4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211</Words>
  <Characters>1162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2024-02-09T22:31:00Z</dcterms:created>
  <dcterms:modified xsi:type="dcterms:W3CDTF">2024-02-09T22:37:00Z</dcterms:modified>
</cp:coreProperties>
</file>