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A7" w:rsidRDefault="004B27A7" w:rsidP="004B27A7">
      <w:pPr>
        <w:rPr>
          <w:rFonts w:ascii="Arial" w:hAnsi="Arial" w:cs="Arial"/>
          <w:b/>
          <w:sz w:val="24"/>
        </w:rPr>
      </w:pPr>
      <w:r w:rsidRPr="00111B7E">
        <w:rPr>
          <w:rFonts w:ascii="Arial" w:hAnsi="Arial" w:cs="Arial"/>
          <w:b/>
          <w:sz w:val="24"/>
        </w:rPr>
        <w:t>Categoría anatómica/fisiología</w:t>
      </w:r>
    </w:p>
    <w:p w:rsidR="004B27A7" w:rsidRPr="00102AF1" w:rsidRDefault="004B27A7" w:rsidP="004B27A7">
      <w:pPr>
        <w:rPr>
          <w:rFonts w:ascii="Arial" w:hAnsi="Arial" w:cs="Arial"/>
          <w:sz w:val="24"/>
        </w:rPr>
      </w:pPr>
      <w:r>
        <w:rPr>
          <w:rFonts w:ascii="Arial" w:hAnsi="Arial" w:cs="Arial"/>
          <w:sz w:val="24"/>
        </w:rPr>
        <w:t>Articulación del tobillo</w:t>
      </w:r>
    </w:p>
    <w:p w:rsidR="004B27A7" w:rsidRDefault="004B27A7" w:rsidP="004B27A7">
      <w:pPr>
        <w:tabs>
          <w:tab w:val="left" w:pos="2143"/>
        </w:tabs>
        <w:rPr>
          <w:rFonts w:ascii="Arial" w:hAnsi="Arial" w:cs="Arial"/>
          <w:b/>
          <w:sz w:val="24"/>
        </w:rPr>
      </w:pPr>
      <w:r>
        <w:rPr>
          <w:rFonts w:ascii="Arial" w:hAnsi="Arial" w:cs="Arial"/>
          <w:b/>
          <w:sz w:val="24"/>
        </w:rPr>
        <w:t>Palabras clave</w:t>
      </w:r>
    </w:p>
    <w:p w:rsidR="004B27A7" w:rsidRDefault="004B27A7" w:rsidP="004B27A7">
      <w:pPr>
        <w:tabs>
          <w:tab w:val="left" w:pos="2143"/>
        </w:tabs>
        <w:rPr>
          <w:rFonts w:ascii="Arial" w:hAnsi="Arial" w:cs="Arial"/>
          <w:sz w:val="24"/>
        </w:rPr>
      </w:pPr>
      <w:r>
        <w:rPr>
          <w:rFonts w:ascii="Arial" w:hAnsi="Arial" w:cs="Arial"/>
          <w:sz w:val="24"/>
        </w:rPr>
        <w:t>Inestabilidad</w:t>
      </w:r>
    </w:p>
    <w:p w:rsidR="004B27A7" w:rsidRPr="006205B0" w:rsidRDefault="004B27A7" w:rsidP="004B27A7">
      <w:pPr>
        <w:tabs>
          <w:tab w:val="left" w:pos="2143"/>
        </w:tabs>
        <w:rPr>
          <w:rFonts w:ascii="Arial" w:hAnsi="Arial" w:cs="Arial"/>
          <w:sz w:val="24"/>
        </w:rPr>
      </w:pPr>
      <w:r>
        <w:rPr>
          <w:rFonts w:ascii="Arial" w:hAnsi="Arial" w:cs="Arial"/>
          <w:sz w:val="24"/>
        </w:rPr>
        <w:t>Subluxación</w:t>
      </w:r>
      <w:bookmarkStart w:id="0" w:name="_GoBack"/>
      <w:bookmarkEnd w:id="0"/>
      <w:r>
        <w:rPr>
          <w:rFonts w:ascii="Arial" w:hAnsi="Arial" w:cs="Arial"/>
          <w:sz w:val="24"/>
        </w:rPr>
        <w:t xml:space="preserve"> </w:t>
      </w:r>
      <w:r>
        <w:rPr>
          <w:rFonts w:ascii="Arial" w:hAnsi="Arial" w:cs="Arial"/>
          <w:b/>
          <w:sz w:val="24"/>
        </w:rPr>
        <w:tab/>
      </w:r>
    </w:p>
    <w:p w:rsidR="004B27A7" w:rsidRDefault="004B27A7" w:rsidP="004B27A7">
      <w:pPr>
        <w:tabs>
          <w:tab w:val="left" w:pos="2143"/>
        </w:tabs>
      </w:pPr>
      <w:r w:rsidRPr="004D1237">
        <w:rPr>
          <w:rFonts w:ascii="Arial" w:hAnsi="Arial" w:cs="Arial"/>
          <w:b/>
          <w:sz w:val="24"/>
        </w:rPr>
        <w:t>Descripción</w:t>
      </w:r>
      <w:r w:rsidRPr="00D42ED3">
        <w:t xml:space="preserve"> </w:t>
      </w:r>
    </w:p>
    <w:p w:rsidR="004B27A7" w:rsidRDefault="004B27A7" w:rsidP="004B27A7">
      <w:pPr>
        <w:tabs>
          <w:tab w:val="left" w:pos="2143"/>
        </w:tabs>
      </w:pPr>
      <w:r>
        <w:t>Valoración de una lesión d</w:t>
      </w:r>
      <w:r>
        <w:t>el ligamento cruzado posterior.</w:t>
      </w:r>
    </w:p>
    <w:p w:rsidR="004B27A7" w:rsidRDefault="004B27A7" w:rsidP="004B27A7">
      <w:pPr>
        <w:tabs>
          <w:tab w:val="left" w:pos="2143"/>
        </w:tabs>
      </w:pPr>
      <w:r>
        <w:rPr>
          <w:rFonts w:ascii="Cambria Math" w:hAnsi="Cambria Math" w:cs="Cambria Math"/>
        </w:rPr>
        <w:t>▶</w:t>
      </w:r>
      <w:r>
        <w:t>Procedimiento. Paciente en dec</w:t>
      </w:r>
      <w:r>
        <w:rPr>
          <w:rFonts w:ascii="Calibri" w:hAnsi="Calibri" w:cs="Calibri"/>
        </w:rPr>
        <w:t>ú</w:t>
      </w:r>
      <w:r>
        <w:t xml:space="preserve">bito supino. Se flexiona la pierna lesionada a 90° y se coloca en rotación externa. Se pide al paciente que contraiga el cuádriceps y que separe la pierna del explorador. </w:t>
      </w:r>
      <w:r>
        <w:rPr>
          <w:rFonts w:ascii="Cambria Math" w:hAnsi="Cambria Math" w:cs="Cambria Math"/>
        </w:rPr>
        <w:t>▶</w:t>
      </w:r>
      <w:r>
        <w:t>Valoraci</w:t>
      </w:r>
      <w:r>
        <w:rPr>
          <w:rFonts w:ascii="Calibri" w:hAnsi="Calibri" w:cs="Calibri"/>
        </w:rPr>
        <w:t>ó</w:t>
      </w:r>
      <w:r>
        <w:t>n. Cuando existe una inestabilidad posterolateral, la rotaci</w:t>
      </w:r>
      <w:r>
        <w:rPr>
          <w:rFonts w:ascii="Calibri" w:hAnsi="Calibri" w:cs="Calibri"/>
        </w:rPr>
        <w:t>ó</w:t>
      </w:r>
      <w:r>
        <w:t>n externa del pie hace que la parte lateral de la tibia se subluxe en sentido posterior en relación con el cóndilo femoral lateral. Este desplazamiento se visualiza como un movimiento hacia atrás de la meseta tibial lateral.</w:t>
      </w:r>
      <w:r>
        <w:t xml:space="preserve"> Durante la contracción volunta</w:t>
      </w:r>
      <w:r>
        <w:t>ria del cuádriceps y la extensión progresiva de la articulación de la rodilla, la meseta tibial lateral abandona la posición de subluxación posterior con un desplazamiento parecido al desplazamiento pivotante inverso y se recoloca. Esta recolocación se suele producir cuando la flexión de la rodilla es de 30-20°. Esta prueba se denomina también prueba de recolocación activa y se suele demostrar exclusivamente en las lesiones ligamentosas antiguas</w:t>
      </w:r>
      <w:r>
        <w:t>.</w:t>
      </w:r>
    </w:p>
    <w:p w:rsidR="004B27A7" w:rsidRDefault="004B27A7" w:rsidP="004B27A7">
      <w:pPr>
        <w:rPr>
          <w:rFonts w:ascii="Arial" w:hAnsi="Arial" w:cs="Arial"/>
          <w:b/>
          <w:sz w:val="24"/>
          <w:szCs w:val="24"/>
        </w:rPr>
      </w:pPr>
      <w:r>
        <w:rPr>
          <w:rFonts w:ascii="Arial" w:hAnsi="Arial" w:cs="Arial"/>
          <w:b/>
          <w:sz w:val="24"/>
          <w:szCs w:val="24"/>
        </w:rPr>
        <w:t xml:space="preserve">Enlaces externos </w:t>
      </w:r>
    </w:p>
    <w:p w:rsidR="004B27A7" w:rsidRPr="004B27A7" w:rsidRDefault="004B27A7" w:rsidP="004B27A7">
      <w:pPr>
        <w:rPr>
          <w:rFonts w:ascii="Arial" w:hAnsi="Arial" w:cs="Arial"/>
          <w:sz w:val="24"/>
          <w:szCs w:val="24"/>
        </w:rPr>
      </w:pPr>
      <w:hyperlink r:id="rId6" w:history="1">
        <w:r w:rsidRPr="0046504B">
          <w:rPr>
            <w:rStyle w:val="Hipervnculo"/>
            <w:rFonts w:ascii="Arial" w:hAnsi="Arial" w:cs="Arial"/>
            <w:sz w:val="24"/>
            <w:szCs w:val="24"/>
          </w:rPr>
          <w:t>https://www.youtube.com/watch?v=JtY4CB9CKNg</w:t>
        </w:r>
      </w:hyperlink>
      <w:r>
        <w:rPr>
          <w:rFonts w:ascii="Arial" w:hAnsi="Arial" w:cs="Arial"/>
          <w:sz w:val="24"/>
          <w:szCs w:val="24"/>
        </w:rPr>
        <w:t xml:space="preserve"> </w:t>
      </w:r>
    </w:p>
    <w:p w:rsidR="004B27A7" w:rsidRDefault="004B27A7" w:rsidP="004B27A7">
      <w:pPr>
        <w:rPr>
          <w:rFonts w:ascii="Arial" w:hAnsi="Arial" w:cs="Arial"/>
          <w:b/>
          <w:sz w:val="24"/>
          <w:szCs w:val="24"/>
        </w:rPr>
      </w:pPr>
      <w:r>
        <w:rPr>
          <w:rFonts w:ascii="Arial" w:hAnsi="Arial" w:cs="Arial"/>
          <w:b/>
          <w:sz w:val="24"/>
          <w:szCs w:val="24"/>
        </w:rPr>
        <w:t xml:space="preserve">Imágenes. Test. Pruebas </w:t>
      </w:r>
    </w:p>
    <w:p w:rsidR="004B27A7" w:rsidRDefault="004B27A7" w:rsidP="004B27A7">
      <w:pPr>
        <w:rPr>
          <w:rFonts w:ascii="Arial" w:hAnsi="Arial" w:cs="Arial"/>
          <w:b/>
          <w:sz w:val="24"/>
          <w:szCs w:val="24"/>
        </w:rPr>
      </w:pPr>
      <w:r w:rsidRPr="004B27A7">
        <w:rPr>
          <w:rFonts w:ascii="Arial" w:hAnsi="Arial" w:cs="Arial"/>
          <w:b/>
          <w:sz w:val="24"/>
          <w:szCs w:val="24"/>
        </w:rPr>
        <w:drawing>
          <wp:inline distT="0" distB="0" distL="0" distR="0" wp14:anchorId="53DF1905" wp14:editId="7C44000C">
            <wp:extent cx="3733800" cy="2009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33800" cy="2009775"/>
                    </a:xfrm>
                    <a:prstGeom prst="rect">
                      <a:avLst/>
                    </a:prstGeom>
                  </pic:spPr>
                </pic:pic>
              </a:graphicData>
            </a:graphic>
          </wp:inline>
        </w:drawing>
      </w:r>
    </w:p>
    <w:p w:rsidR="004B27A7" w:rsidRDefault="004B27A7" w:rsidP="004B27A7">
      <w:pPr>
        <w:rPr>
          <w:rFonts w:ascii="Arial" w:hAnsi="Arial" w:cs="Arial"/>
          <w:b/>
          <w:sz w:val="24"/>
          <w:szCs w:val="24"/>
        </w:rPr>
      </w:pPr>
      <w:r>
        <w:rPr>
          <w:rFonts w:ascii="Arial" w:hAnsi="Arial" w:cs="Arial"/>
          <w:b/>
          <w:sz w:val="24"/>
          <w:szCs w:val="24"/>
        </w:rPr>
        <w:t>Bibliografía</w:t>
      </w:r>
    </w:p>
    <w:p w:rsidR="004B27A7" w:rsidRPr="006205B0" w:rsidRDefault="004B27A7" w:rsidP="004B27A7">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p w:rsidR="004B27A7" w:rsidRDefault="004B27A7" w:rsidP="004B27A7"/>
    <w:p w:rsidR="00E46EF4" w:rsidRDefault="00E46EF4"/>
    <w:sectPr w:rsidR="00E46EF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26E" w:rsidRDefault="006B426E" w:rsidP="004B27A7">
      <w:pPr>
        <w:spacing w:after="0" w:line="240" w:lineRule="auto"/>
      </w:pPr>
      <w:r>
        <w:separator/>
      </w:r>
    </w:p>
  </w:endnote>
  <w:endnote w:type="continuationSeparator" w:id="0">
    <w:p w:rsidR="006B426E" w:rsidRDefault="006B426E" w:rsidP="004B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26E" w:rsidRDefault="006B426E" w:rsidP="004B27A7">
      <w:pPr>
        <w:spacing w:after="0" w:line="240" w:lineRule="auto"/>
      </w:pPr>
      <w:r>
        <w:separator/>
      </w:r>
    </w:p>
  </w:footnote>
  <w:footnote w:type="continuationSeparator" w:id="0">
    <w:p w:rsidR="006B426E" w:rsidRDefault="006B426E" w:rsidP="004B2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A7" w:rsidRDefault="004B27A7" w:rsidP="004B27A7">
    <w:pPr>
      <w:pStyle w:val="Encabezado"/>
      <w:jc w:val="right"/>
    </w:pPr>
    <w:r>
      <w:rPr>
        <w:rFonts w:ascii="Arial" w:hAnsi="Arial" w:cs="Arial"/>
        <w:sz w:val="24"/>
      </w:rPr>
      <w:t>07/02/24</w:t>
    </w:r>
    <w:r w:rsidRPr="00111B7E">
      <w:rPr>
        <w:rFonts w:ascii="Arial" w:hAnsi="Arial" w:cs="Arial"/>
        <w:sz w:val="24"/>
      </w:rPr>
      <w:t xml:space="preserve">    RecuperaT. Fisioterapia física. Fisioterapia de Ortopedia. Fisioterapia post operatoria</w:t>
    </w:r>
  </w:p>
  <w:p w:rsidR="004B27A7" w:rsidRDefault="004B27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A7"/>
    <w:rsid w:val="004B27A7"/>
    <w:rsid w:val="006B426E"/>
    <w:rsid w:val="00E46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CDAE7-8BAA-4BC5-8672-B4B9FF29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7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7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27A7"/>
  </w:style>
  <w:style w:type="paragraph" w:styleId="Piedepgina">
    <w:name w:val="footer"/>
    <w:basedOn w:val="Normal"/>
    <w:link w:val="PiedepginaCar"/>
    <w:uiPriority w:val="99"/>
    <w:unhideWhenUsed/>
    <w:rsid w:val="004B27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7A7"/>
  </w:style>
  <w:style w:type="character" w:styleId="Hipervnculo">
    <w:name w:val="Hyperlink"/>
    <w:basedOn w:val="Fuentedeprrafopredeter"/>
    <w:uiPriority w:val="99"/>
    <w:unhideWhenUsed/>
    <w:rsid w:val="004B2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JtY4CB9CK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227</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2024-02-08T23:29:00Z</dcterms:created>
  <dcterms:modified xsi:type="dcterms:W3CDTF">2024-02-08T23:34:00Z</dcterms:modified>
</cp:coreProperties>
</file>